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2E" w:rsidRPr="0045532E" w:rsidRDefault="0045532E" w:rsidP="0045532E">
      <w:pPr>
        <w:pStyle w:val="NormalWeb"/>
        <w:spacing w:after="0" w:line="480" w:lineRule="auto"/>
        <w:jc w:val="center"/>
        <w:rPr>
          <w:rStyle w:val="Strong"/>
          <w:color w:val="0E101A"/>
        </w:rPr>
      </w:pPr>
    </w:p>
    <w:p w:rsidR="0045532E" w:rsidRPr="0045532E" w:rsidRDefault="0045532E" w:rsidP="0045532E">
      <w:pPr>
        <w:pStyle w:val="NormalWeb"/>
        <w:spacing w:after="0" w:line="480" w:lineRule="auto"/>
        <w:jc w:val="center"/>
        <w:rPr>
          <w:rStyle w:val="Strong"/>
          <w:color w:val="0E101A"/>
        </w:rPr>
      </w:pPr>
    </w:p>
    <w:p w:rsidR="0045532E" w:rsidRPr="0045532E" w:rsidRDefault="0045532E" w:rsidP="0045532E">
      <w:pPr>
        <w:pStyle w:val="NormalWeb"/>
        <w:spacing w:after="0" w:line="480" w:lineRule="auto"/>
        <w:jc w:val="center"/>
        <w:rPr>
          <w:rStyle w:val="Strong"/>
          <w:color w:val="0E101A"/>
        </w:rPr>
      </w:pPr>
      <w:r>
        <w:rPr>
          <w:rStyle w:val="Strong"/>
          <w:color w:val="0E101A"/>
        </w:rPr>
        <w:t xml:space="preserve">Legal issues </w:t>
      </w:r>
    </w:p>
    <w:p w:rsidR="0045532E" w:rsidRPr="0045532E" w:rsidRDefault="0045532E" w:rsidP="0045532E">
      <w:pPr>
        <w:pStyle w:val="NormalWeb"/>
        <w:spacing w:after="0" w:line="480" w:lineRule="auto"/>
        <w:jc w:val="center"/>
        <w:rPr>
          <w:rStyle w:val="Strong"/>
          <w:b w:val="0"/>
          <w:color w:val="0E101A"/>
        </w:rPr>
      </w:pPr>
    </w:p>
    <w:p w:rsidR="0045532E" w:rsidRPr="0045532E" w:rsidRDefault="0045532E" w:rsidP="0045532E">
      <w:pPr>
        <w:pStyle w:val="NormalWeb"/>
        <w:spacing w:after="0" w:line="480" w:lineRule="auto"/>
        <w:jc w:val="center"/>
        <w:rPr>
          <w:rStyle w:val="Strong"/>
          <w:b w:val="0"/>
          <w:color w:val="0E101A"/>
        </w:rPr>
      </w:pPr>
      <w:r w:rsidRPr="0045532E">
        <w:rPr>
          <w:rStyle w:val="Strong"/>
          <w:b w:val="0"/>
          <w:color w:val="0E101A"/>
        </w:rPr>
        <w:t>Name</w:t>
      </w:r>
    </w:p>
    <w:p w:rsidR="0045532E" w:rsidRPr="0045532E" w:rsidRDefault="0045532E" w:rsidP="0045532E">
      <w:pPr>
        <w:pStyle w:val="NormalWeb"/>
        <w:spacing w:after="0" w:line="480" w:lineRule="auto"/>
        <w:jc w:val="center"/>
        <w:rPr>
          <w:rStyle w:val="Strong"/>
          <w:b w:val="0"/>
          <w:color w:val="0E101A"/>
        </w:rPr>
      </w:pPr>
      <w:r w:rsidRPr="0045532E">
        <w:rPr>
          <w:rStyle w:val="Strong"/>
          <w:b w:val="0"/>
          <w:color w:val="0E101A"/>
        </w:rPr>
        <w:t>Department, Institution</w:t>
      </w:r>
    </w:p>
    <w:p w:rsidR="0045532E" w:rsidRPr="0045532E" w:rsidRDefault="0045532E" w:rsidP="0045532E">
      <w:pPr>
        <w:pStyle w:val="NormalWeb"/>
        <w:spacing w:after="0" w:line="480" w:lineRule="auto"/>
        <w:jc w:val="center"/>
        <w:rPr>
          <w:rStyle w:val="Strong"/>
          <w:b w:val="0"/>
          <w:color w:val="0E101A"/>
        </w:rPr>
      </w:pPr>
      <w:r w:rsidRPr="0045532E">
        <w:rPr>
          <w:rStyle w:val="Strong"/>
          <w:b w:val="0"/>
          <w:color w:val="0E101A"/>
        </w:rPr>
        <w:t>Course</w:t>
      </w:r>
    </w:p>
    <w:p w:rsidR="0045532E" w:rsidRPr="0045532E" w:rsidRDefault="0045532E" w:rsidP="0045532E">
      <w:pPr>
        <w:pStyle w:val="NormalWeb"/>
        <w:spacing w:after="0" w:line="480" w:lineRule="auto"/>
        <w:jc w:val="center"/>
        <w:rPr>
          <w:rStyle w:val="Strong"/>
          <w:b w:val="0"/>
          <w:color w:val="0E101A"/>
        </w:rPr>
      </w:pPr>
      <w:r w:rsidRPr="0045532E">
        <w:rPr>
          <w:rStyle w:val="Strong"/>
          <w:b w:val="0"/>
          <w:color w:val="0E101A"/>
        </w:rPr>
        <w:t>Professor</w:t>
      </w:r>
    </w:p>
    <w:p w:rsidR="0045532E" w:rsidRDefault="0045532E" w:rsidP="0045532E">
      <w:pPr>
        <w:pStyle w:val="NormalWeb"/>
        <w:spacing w:before="0" w:beforeAutospacing="0" w:after="0" w:afterAutospacing="0" w:line="480" w:lineRule="auto"/>
        <w:jc w:val="center"/>
        <w:rPr>
          <w:rStyle w:val="Strong"/>
          <w:b w:val="0"/>
          <w:color w:val="0E101A"/>
        </w:rPr>
      </w:pPr>
      <w:r w:rsidRPr="0045532E">
        <w:rPr>
          <w:rStyle w:val="Strong"/>
          <w:b w:val="0"/>
          <w:color w:val="0E101A"/>
        </w:rPr>
        <w:t>Date</w:t>
      </w: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rStyle w:val="Strong"/>
          <w:b w:val="0"/>
          <w:color w:val="0E101A"/>
        </w:rPr>
      </w:pPr>
    </w:p>
    <w:p w:rsidR="0045532E" w:rsidRDefault="0045532E" w:rsidP="0045532E">
      <w:pPr>
        <w:pStyle w:val="NormalWeb"/>
        <w:spacing w:before="0" w:beforeAutospacing="0" w:after="0" w:afterAutospacing="0" w:line="480" w:lineRule="auto"/>
        <w:jc w:val="center"/>
        <w:rPr>
          <w:color w:val="0E101A"/>
        </w:rPr>
      </w:pPr>
      <w:r>
        <w:rPr>
          <w:rStyle w:val="Strong"/>
          <w:color w:val="0E101A"/>
        </w:rPr>
        <w:lastRenderedPageBreak/>
        <w:t>Introduction</w:t>
      </w:r>
    </w:p>
    <w:p w:rsidR="0045532E" w:rsidRDefault="0045532E" w:rsidP="0045532E">
      <w:pPr>
        <w:pStyle w:val="NormalWeb"/>
        <w:spacing w:before="0" w:beforeAutospacing="0" w:after="0" w:afterAutospacing="0" w:line="480" w:lineRule="auto"/>
        <w:ind w:firstLine="720"/>
        <w:rPr>
          <w:color w:val="0E101A"/>
        </w:rPr>
      </w:pPr>
    </w:p>
    <w:p w:rsidR="0045532E" w:rsidRDefault="0045532E" w:rsidP="0045532E">
      <w:pPr>
        <w:pStyle w:val="NormalWeb"/>
        <w:spacing w:before="0" w:beforeAutospacing="0" w:after="0" w:afterAutospacing="0" w:line="480" w:lineRule="auto"/>
        <w:ind w:firstLine="720"/>
        <w:rPr>
          <w:color w:val="0E101A"/>
        </w:rPr>
      </w:pPr>
      <w:r>
        <w:rPr>
          <w:color w:val="0E101A"/>
        </w:rPr>
        <w:t>Social media has become one of the communication channels in the modern world and consequently, it has made the world look like a global village. In a learning context, social media has successfully enhanced communication between teachers, parents, and students. It has expanded learning beyond lecture halls. However, everything good typically never lacks a weakness. School managements are grappling with the growing tendencies of teachers using social media in the wrong ways that harbor conflicts amongst teachers</w:t>
      </w:r>
    </w:p>
    <w:p w:rsidR="0045532E" w:rsidRDefault="0045532E" w:rsidP="0045532E">
      <w:pPr>
        <w:pStyle w:val="NormalWeb"/>
        <w:spacing w:before="0" w:beforeAutospacing="0" w:after="0" w:afterAutospacing="0" w:line="480" w:lineRule="auto"/>
        <w:rPr>
          <w:color w:val="0E101A"/>
        </w:rPr>
      </w:pPr>
      <w:r>
        <w:rPr>
          <w:rStyle w:val="Strong"/>
          <w:color w:val="0E101A"/>
        </w:rPr>
        <w:t>Issue</w:t>
      </w:r>
    </w:p>
    <w:p w:rsidR="0045532E" w:rsidRDefault="0045532E" w:rsidP="0045532E">
      <w:pPr>
        <w:pStyle w:val="NormalWeb"/>
        <w:spacing w:before="0" w:beforeAutospacing="0" w:after="0" w:afterAutospacing="0" w:line="480" w:lineRule="auto"/>
        <w:ind w:firstLine="720"/>
        <w:rPr>
          <w:color w:val="0E101A"/>
        </w:rPr>
      </w:pPr>
      <w:r>
        <w:rPr>
          <w:color w:val="0E101A"/>
        </w:rPr>
        <w:t>One of the issues that might arise will be the question of freedom of expression and speech. The colleagues might feel offended by the sentiments made on Facebook tarnishes their professionalism. Equally, the teacher who made that statement might raise a concern that he or she has freedom of expression and speech.</w:t>
      </w:r>
    </w:p>
    <w:p w:rsidR="0045532E" w:rsidRDefault="0045532E" w:rsidP="0045532E">
      <w:pPr>
        <w:pStyle w:val="NormalWeb"/>
        <w:spacing w:before="0" w:beforeAutospacing="0" w:after="0" w:afterAutospacing="0" w:line="480" w:lineRule="auto"/>
        <w:rPr>
          <w:color w:val="0E101A"/>
        </w:rPr>
      </w:pPr>
      <w:r>
        <w:rPr>
          <w:rStyle w:val="Strong"/>
          <w:color w:val="0E101A"/>
        </w:rPr>
        <w:t>Rules</w:t>
      </w:r>
    </w:p>
    <w:p w:rsidR="0045532E" w:rsidRDefault="0045532E" w:rsidP="0045532E">
      <w:pPr>
        <w:pStyle w:val="NormalWeb"/>
        <w:spacing w:before="0" w:beforeAutospacing="0" w:after="0" w:afterAutospacing="0" w:line="480" w:lineRule="auto"/>
        <w:rPr>
          <w:color w:val="0E101A"/>
        </w:rPr>
      </w:pPr>
      <w:r>
        <w:rPr>
          <w:rStyle w:val="Emphasis"/>
          <w:b/>
          <w:bCs/>
          <w:color w:val="0E101A"/>
        </w:rPr>
        <w:t>Teacher right to speech</w:t>
      </w:r>
    </w:p>
    <w:p w:rsidR="0045532E" w:rsidRDefault="0045532E" w:rsidP="0045532E">
      <w:pPr>
        <w:pStyle w:val="NormalWeb"/>
        <w:spacing w:before="0" w:beforeAutospacing="0" w:after="0" w:afterAutospacing="0" w:line="480" w:lineRule="auto"/>
        <w:ind w:firstLine="720"/>
        <w:rPr>
          <w:color w:val="0E101A"/>
        </w:rPr>
      </w:pPr>
      <w:r>
        <w:rPr>
          <w:color w:val="0E101A"/>
        </w:rPr>
        <w:t xml:space="preserve">There was a case similar to the issue raised in this context. The case involved a high school teacher called Marvin Pickering in the Illinois United States. Marvin had written a letter to the editor of a local newspaper and in his letter, he was criticizing the school board of management and the superintendent for disproportional allocation of funds meant for athletic programs at the expense of academic programs. The board on reading the letter concluded that Marvin’s comments were detrimental both to the school operations and to the management and as a result his employment as a teacher was terminated. In return, Marvin appealed citing that the </w:t>
      </w:r>
      <w:r>
        <w:rPr>
          <w:color w:val="0E101A"/>
        </w:rPr>
        <w:lastRenderedPageBreak/>
        <w:t>board of management violated his freedom of speech and expression which is safeguarded by the Supreme Court amendment on free speech protection for all public teachers (Hudson, 2002).</w:t>
      </w:r>
    </w:p>
    <w:p w:rsidR="0045532E" w:rsidRDefault="0045532E" w:rsidP="0045532E">
      <w:pPr>
        <w:pStyle w:val="NormalWeb"/>
        <w:spacing w:before="0" w:beforeAutospacing="0" w:after="0" w:afterAutospacing="0" w:line="480" w:lineRule="auto"/>
        <w:ind w:firstLine="720"/>
        <w:rPr>
          <w:color w:val="0E101A"/>
        </w:rPr>
      </w:pPr>
      <w:r>
        <w:rPr>
          <w:color w:val="0E101A"/>
        </w:rPr>
        <w:t>The court however did not favor Mr. Marvin because the court rejected the prior argument provided before them by citing that the argument that all public school teachers relinquish their first amendment as a condition of public sector employment and therefore it does not guarantee him the right to expose the school management. Additionally, the majority still argued that the board's interests in pursuance of educational goals must be balanced for comprehensive co-curricular support. The balance could only be found by including the employees’ rights to air out matters of public importance.</w:t>
      </w:r>
    </w:p>
    <w:p w:rsidR="0045532E" w:rsidRDefault="0045532E" w:rsidP="0045532E">
      <w:pPr>
        <w:pStyle w:val="NormalWeb"/>
        <w:spacing w:before="0" w:beforeAutospacing="0" w:after="0" w:afterAutospacing="0" w:line="480" w:lineRule="auto"/>
        <w:rPr>
          <w:color w:val="0E101A"/>
        </w:rPr>
      </w:pPr>
      <w:r>
        <w:rPr>
          <w:rStyle w:val="Strong"/>
          <w:color w:val="0E101A"/>
        </w:rPr>
        <w:t>Application </w:t>
      </w:r>
    </w:p>
    <w:p w:rsidR="0045532E" w:rsidRDefault="0045532E" w:rsidP="0045532E">
      <w:pPr>
        <w:pStyle w:val="NormalWeb"/>
        <w:spacing w:before="0" w:beforeAutospacing="0" w:after="0" w:afterAutospacing="0" w:line="480" w:lineRule="auto"/>
        <w:rPr>
          <w:color w:val="0E101A"/>
        </w:rPr>
      </w:pPr>
      <w:r>
        <w:rPr>
          <w:color w:val="0E101A"/>
        </w:rPr>
        <w:t>           From the given scenario, the case of Marvin Pickering should be applied. Although one is entitled to freedom of speech, some limitations come with that freedom. The court ruling that Marvin was altogether wrong by airing the management issues in a local newspaper was wrong should be congruently be matched to the dimension that the case in this scenario take bearing in mind the teacher in question hails from the same school and instead of airing the grievances about the teachers' professionalism issues to the management that has directly employed him through a social network is wrong. There were clear and open avenues that he could have used to complain about the professionalism of a colleague teacher rather than Facebook which is being used by the students' something that might stir up discontent as students would feel that they are being taught by someone who is not professionally qualified. In that case, therefore, further action should be taken for that teacher and appropriate punishment should be served.</w:t>
      </w:r>
    </w:p>
    <w:p w:rsidR="0045532E" w:rsidRDefault="0045532E" w:rsidP="0045532E">
      <w:pPr>
        <w:pStyle w:val="NormalWeb"/>
        <w:spacing w:before="0" w:beforeAutospacing="0" w:after="0" w:afterAutospacing="0" w:line="480" w:lineRule="auto"/>
        <w:rPr>
          <w:color w:val="0E101A"/>
        </w:rPr>
      </w:pPr>
      <w:r>
        <w:rPr>
          <w:rStyle w:val="Strong"/>
          <w:color w:val="0E101A"/>
        </w:rPr>
        <w:t>Conclusion</w:t>
      </w:r>
    </w:p>
    <w:p w:rsidR="0045532E" w:rsidRDefault="0045532E" w:rsidP="0045532E">
      <w:pPr>
        <w:pStyle w:val="NormalWeb"/>
        <w:spacing w:before="0" w:beforeAutospacing="0" w:after="0" w:afterAutospacing="0" w:line="480" w:lineRule="auto"/>
        <w:ind w:firstLine="720"/>
        <w:rPr>
          <w:color w:val="0E101A"/>
        </w:rPr>
      </w:pPr>
      <w:r>
        <w:rPr>
          <w:color w:val="0E101A"/>
        </w:rPr>
        <w:lastRenderedPageBreak/>
        <w:t>School leadership should be proactive and in that regard develop a mechanism of dealing with most problems arising as a result of social media exposure. The mechanism should entail preventive measures that the school leaders should take in case incidences of malpractices in schools occurs. This should come with clear policies that stipulate limits of acceptable social network use by teachers when not in school. It is equally important for teachers to respect each other regardless of the level of education that one has acquired and bear in mind that they are in school for a common goal of enlightening the students and not engaging in professional supremacy battles in social media (Decker, 2014). On the same issue school leaders are endowed with a moral obligation of ensuring that students are protected from inappropriate use of social media because if the students can have access to the supremacy professional battles between their teachers it can weaken the teacher-student bond.   </w:t>
      </w:r>
    </w:p>
    <w:p w:rsidR="000F469E" w:rsidRDefault="000F469E" w:rsidP="000F469E">
      <w:pPr>
        <w:spacing w:line="480" w:lineRule="auto"/>
        <w:jc w:val="center"/>
        <w:rPr>
          <w:rFonts w:ascii="Times New Roman" w:hAnsi="Times New Roman" w:cs="Times New Roman"/>
          <w:sz w:val="24"/>
          <w:szCs w:val="24"/>
        </w:rPr>
      </w:pPr>
    </w:p>
    <w:p w:rsidR="000F469E" w:rsidRDefault="000F469E" w:rsidP="000F469E">
      <w:pPr>
        <w:spacing w:line="480" w:lineRule="auto"/>
        <w:jc w:val="center"/>
        <w:rPr>
          <w:rFonts w:ascii="Times New Roman" w:hAnsi="Times New Roman" w:cs="Times New Roman"/>
          <w:sz w:val="24"/>
          <w:szCs w:val="24"/>
        </w:rPr>
      </w:pPr>
    </w:p>
    <w:p w:rsidR="000F469E" w:rsidRDefault="000F469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45532E" w:rsidRDefault="0045532E" w:rsidP="000F469E">
      <w:pPr>
        <w:spacing w:line="480" w:lineRule="auto"/>
        <w:jc w:val="center"/>
        <w:rPr>
          <w:rFonts w:ascii="Times New Roman" w:hAnsi="Times New Roman" w:cs="Times New Roman"/>
          <w:sz w:val="24"/>
          <w:szCs w:val="24"/>
        </w:rPr>
      </w:pPr>
    </w:p>
    <w:p w:rsidR="000F469E" w:rsidRDefault="000F469E" w:rsidP="000F469E">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0F469E" w:rsidRPr="000F469E" w:rsidRDefault="000F469E" w:rsidP="000F469E">
      <w:pPr>
        <w:spacing w:line="480" w:lineRule="auto"/>
        <w:rPr>
          <w:rFonts w:ascii="Times New Roman" w:hAnsi="Times New Roman" w:cs="Times New Roman"/>
          <w:sz w:val="24"/>
          <w:szCs w:val="24"/>
        </w:rPr>
      </w:pPr>
      <w:r w:rsidRPr="000F469E">
        <w:rPr>
          <w:rFonts w:ascii="Times New Roman" w:hAnsi="Times New Roman" w:cs="Times New Roman"/>
          <w:sz w:val="24"/>
          <w:szCs w:val="24"/>
        </w:rPr>
        <w:t>Decker, J. R. (2014). Facebook phobia! The misguided proliferation of restrictive</w:t>
      </w:r>
    </w:p>
    <w:p w:rsidR="000F469E" w:rsidRPr="000F469E" w:rsidRDefault="000F469E" w:rsidP="000F469E">
      <w:pPr>
        <w:spacing w:line="480" w:lineRule="auto"/>
        <w:rPr>
          <w:rFonts w:ascii="Times New Roman" w:hAnsi="Times New Roman" w:cs="Times New Roman"/>
          <w:sz w:val="24"/>
          <w:szCs w:val="24"/>
        </w:rPr>
      </w:pPr>
      <w:proofErr w:type="gramStart"/>
      <w:r w:rsidRPr="000F469E">
        <w:rPr>
          <w:rFonts w:ascii="Times New Roman" w:hAnsi="Times New Roman" w:cs="Times New Roman"/>
          <w:sz w:val="24"/>
          <w:szCs w:val="24"/>
        </w:rPr>
        <w:t>social</w:t>
      </w:r>
      <w:proofErr w:type="gramEnd"/>
      <w:r w:rsidRPr="000F469E">
        <w:rPr>
          <w:rFonts w:ascii="Times New Roman" w:hAnsi="Times New Roman" w:cs="Times New Roman"/>
          <w:sz w:val="24"/>
          <w:szCs w:val="24"/>
        </w:rPr>
        <w:t xml:space="preserve"> networking policies for school employees. Northwestern Journal of Law</w:t>
      </w:r>
    </w:p>
    <w:p w:rsidR="000F469E" w:rsidRPr="000F469E" w:rsidRDefault="000F469E" w:rsidP="000F469E">
      <w:pPr>
        <w:spacing w:line="480" w:lineRule="auto"/>
        <w:rPr>
          <w:rFonts w:ascii="Times New Roman" w:hAnsi="Times New Roman" w:cs="Times New Roman"/>
          <w:sz w:val="24"/>
          <w:szCs w:val="24"/>
        </w:rPr>
      </w:pPr>
      <w:proofErr w:type="gramStart"/>
      <w:r w:rsidRPr="000F469E">
        <w:rPr>
          <w:rFonts w:ascii="Times New Roman" w:hAnsi="Times New Roman" w:cs="Times New Roman"/>
          <w:sz w:val="24"/>
          <w:szCs w:val="24"/>
        </w:rPr>
        <w:t>and</w:t>
      </w:r>
      <w:proofErr w:type="gramEnd"/>
      <w:r w:rsidRPr="000F469E">
        <w:rPr>
          <w:rFonts w:ascii="Times New Roman" w:hAnsi="Times New Roman" w:cs="Times New Roman"/>
          <w:sz w:val="24"/>
          <w:szCs w:val="24"/>
        </w:rPr>
        <w:t xml:space="preserve"> Social Policy.</w:t>
      </w:r>
      <w:proofErr w:type="spellStart"/>
      <w:r w:rsidRPr="000F469E">
        <w:rPr>
          <w:rFonts w:ascii="Times New Roman" w:hAnsi="Times New Roman" w:cs="Times New Roman"/>
          <w:sz w:val="24"/>
          <w:szCs w:val="24"/>
        </w:rPr>
        <w:t xml:space="preserve"> Retrieved from</w:t>
      </w:r>
    </w:p>
    <w:p w:rsidR="000F469E" w:rsidRPr="000F469E" w:rsidRDefault="000F469E" w:rsidP="000F469E">
      <w:pPr>
        <w:spacing w:line="480" w:lineRule="auto"/>
        <w:rPr>
          <w:rFonts w:ascii="Times New Roman" w:hAnsi="Times New Roman" w:cs="Times New Roman"/>
          <w:sz w:val="24"/>
          <w:szCs w:val="24"/>
        </w:rPr>
      </w:pPr>
      <w:proofErr w:type="spellEnd"/>
      <w:r w:rsidRPr="000F469E">
        <w:rPr>
          <w:rFonts w:ascii="Times New Roman" w:hAnsi="Times New Roman" w:cs="Times New Roman"/>
          <w:sz w:val="24"/>
          <w:szCs w:val="24"/>
        </w:rPr>
        <w:t>http://scholarlycommons.law.northwestern.edu/cgi/viewcontent.cgi?article=1</w:t>
      </w:r>
    </w:p>
    <w:p w:rsidR="000F469E" w:rsidRPr="000F469E" w:rsidRDefault="000F469E" w:rsidP="000F469E">
      <w:pPr>
        <w:spacing w:line="480" w:lineRule="auto"/>
        <w:rPr>
          <w:rFonts w:ascii="Times New Roman" w:hAnsi="Times New Roman" w:cs="Times New Roman"/>
          <w:sz w:val="24"/>
          <w:szCs w:val="24"/>
        </w:rPr>
      </w:pPr>
      <w:r w:rsidRPr="000F469E">
        <w:rPr>
          <w:rFonts w:ascii="Times New Roman" w:hAnsi="Times New Roman" w:cs="Times New Roman"/>
          <w:sz w:val="24"/>
          <w:szCs w:val="24"/>
        </w:rPr>
        <w:t>113&amp;context=</w:t>
      </w:r>
      <w:proofErr w:type="spellStart"/>
      <w:r w:rsidRPr="000F469E">
        <w:rPr>
          <w:rFonts w:ascii="Times New Roman" w:hAnsi="Times New Roman" w:cs="Times New Roman"/>
          <w:sz w:val="24"/>
          <w:szCs w:val="24"/>
        </w:rPr>
        <w:t>njlsp</w:t>
      </w:r>
      <w:proofErr w:type="spellEnd"/>
    </w:p>
    <w:p w:rsidR="000F469E" w:rsidRPr="000F469E" w:rsidRDefault="000F469E" w:rsidP="000F469E">
      <w:pPr>
        <w:spacing w:line="480" w:lineRule="auto"/>
        <w:rPr>
          <w:rFonts w:ascii="Times New Roman" w:hAnsi="Times New Roman" w:cs="Times New Roman"/>
          <w:sz w:val="24"/>
          <w:szCs w:val="24"/>
        </w:rPr>
      </w:pPr>
      <w:r w:rsidRPr="000F469E">
        <w:rPr>
          <w:rFonts w:ascii="Times New Roman" w:hAnsi="Times New Roman" w:cs="Times New Roman"/>
          <w:sz w:val="24"/>
          <w:szCs w:val="24"/>
        </w:rPr>
        <w:t xml:space="preserve">Hudson, D. (2002). Balancing act: Public employees and free speech. First Amendment Center, 3(2). Retrieved from </w:t>
      </w:r>
      <w:hyperlink r:id="rId4" w:history="1">
        <w:r w:rsidRPr="000F469E">
          <w:rPr>
            <w:rStyle w:val="Hyperlink"/>
            <w:rFonts w:ascii="Times New Roman" w:hAnsi="Times New Roman" w:cs="Times New Roman"/>
            <w:sz w:val="24"/>
            <w:szCs w:val="24"/>
          </w:rPr>
          <w:t>http://www.firstamendmentcenter.org/madison/wpcontent/uploads/2011/03/FirstReport.PublicEmployees.pdf</w:t>
        </w:r>
      </w:hyperlink>
    </w:p>
    <w:p w:rsidR="000F469E" w:rsidRPr="000F469E" w:rsidRDefault="000F469E" w:rsidP="0008717C">
      <w:pPr>
        <w:rPr>
          <w:rFonts w:ascii="Times New Roman" w:hAnsi="Times New Roman" w:cs="Times New Roman"/>
          <w:sz w:val="24"/>
          <w:szCs w:val="24"/>
        </w:rPr>
      </w:pPr>
    </w:p>
    <w:p w:rsidR="00C33A85" w:rsidRPr="009345B8" w:rsidRDefault="0045532E" w:rsidP="009345B8">
      <w:pPr>
        <w:rPr>
          <w:rFonts w:ascii="Times New Roman" w:hAnsi="Times New Roman" w:cs="Times New Roman"/>
          <w:sz w:val="24"/>
          <w:szCs w:val="24"/>
        </w:rPr>
      </w:pPr>
    </w:p>
    <w:sectPr w:rsidR="00C33A85" w:rsidRPr="0093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B8"/>
    <w:rsid w:val="0008717C"/>
    <w:rsid w:val="000F469E"/>
    <w:rsid w:val="00383729"/>
    <w:rsid w:val="003A6A1A"/>
    <w:rsid w:val="0045532E"/>
    <w:rsid w:val="00691DD4"/>
    <w:rsid w:val="006D0FB2"/>
    <w:rsid w:val="00757899"/>
    <w:rsid w:val="00897E5A"/>
    <w:rsid w:val="008B033D"/>
    <w:rsid w:val="008E55ED"/>
    <w:rsid w:val="00906A40"/>
    <w:rsid w:val="009345B8"/>
    <w:rsid w:val="00BA1BB0"/>
    <w:rsid w:val="00C76D24"/>
    <w:rsid w:val="00E36EAF"/>
    <w:rsid w:val="00EB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54543-233E-47CA-A851-0ED43015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69E"/>
    <w:rPr>
      <w:color w:val="0563C1" w:themeColor="hyperlink"/>
      <w:u w:val="single"/>
    </w:rPr>
  </w:style>
  <w:style w:type="paragraph" w:styleId="NormalWeb">
    <w:name w:val="Normal (Web)"/>
    <w:basedOn w:val="Normal"/>
    <w:uiPriority w:val="99"/>
    <w:semiHidden/>
    <w:unhideWhenUsed/>
    <w:rsid w:val="004553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32E"/>
    <w:rPr>
      <w:b/>
      <w:bCs/>
    </w:rPr>
  </w:style>
  <w:style w:type="character" w:styleId="Emphasis">
    <w:name w:val="Emphasis"/>
    <w:basedOn w:val="DefaultParagraphFont"/>
    <w:uiPriority w:val="20"/>
    <w:qFormat/>
    <w:rsid w:val="00455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rstamendmentcenter.org/madison/wpcontent/uploads/2011/03/FirstReport.PublicEmploy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2021-07-10T10:22:00Z</dcterms:created>
  <dcterms:modified xsi:type="dcterms:W3CDTF">2021-07-10T13:11:00Z</dcterms:modified>
</cp:coreProperties>
</file>